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2108155E" w:rsidR="00C745FA" w:rsidRPr="0080506E" w:rsidRDefault="000422E7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24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5D6B9B">
        <w:rPr>
          <w:rFonts w:ascii="Sylfaen" w:hAnsi="Sylfaen"/>
          <w:b/>
          <w:bCs/>
          <w:sz w:val="24"/>
          <w:u w:val="single"/>
          <w:lang w:val="ka-GE"/>
        </w:rPr>
        <w:t>276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80506E" w:rsidRPr="0080506E">
        <w:rPr>
          <w:rFonts w:ascii="Sylfaen" w:hAnsi="Sylfaen"/>
          <w:b/>
          <w:bCs/>
          <w:sz w:val="24"/>
          <w:lang w:val="ka-GE"/>
        </w:rPr>
        <w:t>აქედან</w:t>
      </w:r>
      <w:r w:rsidR="005D6B9B">
        <w:rPr>
          <w:rFonts w:ascii="Sylfaen" w:hAnsi="Sylfaen"/>
          <w:b/>
          <w:bCs/>
          <w:sz w:val="24"/>
          <w:lang w:val="ka-GE"/>
        </w:rPr>
        <w:t xml:space="preserve"> 45</w:t>
      </w:r>
      <w:r w:rsidR="0080506E" w:rsidRPr="0080506E">
        <w:rPr>
          <w:rFonts w:ascii="Sylfaen" w:hAnsi="Sylfaen"/>
          <w:b/>
          <w:bCs/>
          <w:sz w:val="24"/>
          <w:lang w:val="ka-GE"/>
        </w:rPr>
        <w:t xml:space="preserve"> განმეორებით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5D6B9B">
        <w:rPr>
          <w:rFonts w:ascii="Sylfaen" w:hAnsi="Sylfaen"/>
          <w:b/>
          <w:sz w:val="24"/>
          <w:u w:val="single"/>
        </w:rPr>
        <w:t xml:space="preserve">140 </w:t>
      </w:r>
      <w:proofErr w:type="spellStart"/>
      <w:r w:rsidR="0080506E">
        <w:rPr>
          <w:rFonts w:ascii="Sylfaen" w:hAnsi="Sylfaen"/>
          <w:b/>
          <w:sz w:val="24"/>
          <w:u w:val="single"/>
        </w:rPr>
        <w:t>ნიმუში</w:t>
      </w:r>
      <w:proofErr w:type="spellEnd"/>
      <w:r w:rsidR="005D6B9B">
        <w:rPr>
          <w:rFonts w:ascii="Sylfaen" w:hAnsi="Sylfaen"/>
          <w:b/>
          <w:sz w:val="24"/>
          <w:u w:val="single"/>
        </w:rPr>
        <w:t xml:space="preserve">,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b/>
          <w:sz w:val="24"/>
          <w:u w:val="single"/>
          <w:lang w:val="ka-GE"/>
        </w:rPr>
        <w:t>223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5D6B9B">
        <w:rPr>
          <w:rFonts w:ascii="Sylfaen" w:hAnsi="Sylfaen"/>
          <w:b/>
          <w:sz w:val="24"/>
          <w:u w:val="single"/>
        </w:rPr>
        <w:t xml:space="preserve">29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5D6B9B">
        <w:rPr>
          <w:rFonts w:ascii="Sylfaen" w:hAnsi="Sylfaen"/>
          <w:sz w:val="24"/>
          <w:lang w:val="ka-GE"/>
        </w:rPr>
        <w:t xml:space="preserve"> 8</w:t>
      </w:r>
      <w:r w:rsidR="0080506E">
        <w:rPr>
          <w:rFonts w:ascii="Sylfaen" w:hAnsi="Sylfaen"/>
          <w:sz w:val="24"/>
          <w:lang w:val="ka-GE"/>
        </w:rPr>
        <w:t xml:space="preserve"> განმეორებითი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b/>
          <w:sz w:val="24"/>
        </w:rPr>
        <w:t>57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>
        <w:rPr>
          <w:rFonts w:ascii="Sylfaen" w:hAnsi="Sylfaen"/>
          <w:b/>
          <w:sz w:val="24"/>
        </w:rPr>
        <w:t>ნიმუში</w:t>
      </w:r>
      <w:proofErr w:type="spellEnd"/>
      <w:r w:rsidR="0080506E">
        <w:rPr>
          <w:rFonts w:ascii="Sylfaen" w:hAnsi="Sylfaen"/>
          <w:b/>
          <w:sz w:val="24"/>
        </w:rPr>
        <w:t xml:space="preserve"> 2 </w:t>
      </w:r>
      <w:proofErr w:type="spellStart"/>
      <w:r w:rsidR="0080506E">
        <w:rPr>
          <w:rFonts w:ascii="Sylfaen" w:hAnsi="Sylfaen"/>
          <w:b/>
          <w:sz w:val="24"/>
        </w:rPr>
        <w:t>განმეორებითი</w:t>
      </w:r>
      <w:proofErr w:type="spellEnd"/>
      <w:r w:rsidR="005D6B9B">
        <w:rPr>
          <w:rFonts w:ascii="Sylfaen" w:hAnsi="Sylfaen"/>
          <w:b/>
          <w:sz w:val="24"/>
        </w:rPr>
        <w:t xml:space="preserve">,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b/>
          <w:sz w:val="24"/>
          <w:u w:val="single"/>
          <w:lang w:val="ka-GE"/>
        </w:rPr>
        <w:t>30</w:t>
      </w:r>
      <w:r w:rsidR="005D6B9B">
        <w:rPr>
          <w:rFonts w:ascii="Sylfaen" w:hAnsi="Sylfaen"/>
          <w:sz w:val="24"/>
          <w:lang w:val="ka-GE"/>
        </w:rPr>
        <w:t xml:space="preserve"> ნიმუში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5D6B9B">
        <w:rPr>
          <w:rFonts w:ascii="Sylfaen" w:hAnsi="Sylfaen"/>
          <w:b/>
          <w:sz w:val="24"/>
          <w:u w:val="single"/>
          <w:lang w:val="ka-GE"/>
        </w:rPr>
        <w:t>755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5D6B9B">
        <w:rPr>
          <w:rFonts w:ascii="Sylfaen" w:hAnsi="Sylfaen"/>
          <w:b/>
          <w:bCs/>
          <w:sz w:val="24"/>
          <w:u w:val="single"/>
        </w:rPr>
        <w:t>700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პირველადი ნიმუში </w:t>
      </w:r>
    </w:p>
    <w:p w14:paraId="00395F9C" w14:textId="7EF04CE1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9 699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6E8F0673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D75BDD">
        <w:rPr>
          <w:rFonts w:ascii="Sylfaen" w:hAnsi="Sylfaen"/>
          <w:b/>
          <w:sz w:val="24"/>
          <w:u w:val="single"/>
          <w:lang w:val="ka-GE"/>
        </w:rPr>
        <w:t>10 340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667C003A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62A38">
        <w:rPr>
          <w:rFonts w:ascii="Sylfaen" w:hAnsi="Sylfaen"/>
          <w:b/>
          <w:sz w:val="24"/>
        </w:rPr>
        <w:t>4</w:t>
      </w:r>
      <w:r w:rsidR="00AB6722">
        <w:rPr>
          <w:rFonts w:ascii="Sylfaen" w:hAnsi="Sylfaen"/>
          <w:b/>
          <w:sz w:val="24"/>
          <w:lang w:val="ka-GE"/>
        </w:rPr>
        <w:t>31</w:t>
      </w:r>
      <w:bookmarkStart w:id="0" w:name="_GoBack"/>
      <w:bookmarkEnd w:id="0"/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3930C717" w:rsidR="00F32247" w:rsidRPr="00E440C4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DF7F93">
        <w:rPr>
          <w:rFonts w:ascii="Sylfaen" w:hAnsi="Sylfaen"/>
          <w:sz w:val="24"/>
        </w:rPr>
        <w:t>11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F62A38">
        <w:rPr>
          <w:rFonts w:ascii="Sylfaen" w:hAnsi="Sylfaen"/>
          <w:sz w:val="24"/>
          <w:lang w:val="ka-GE"/>
        </w:rPr>
        <w:t xml:space="preserve">აქედან </w:t>
      </w:r>
      <w:r w:rsidR="00E440C4">
        <w:rPr>
          <w:rFonts w:ascii="Sylfaen" w:hAnsi="Sylfaen"/>
          <w:sz w:val="24"/>
        </w:rPr>
        <w:t xml:space="preserve"> </w:t>
      </w:r>
      <w:r w:rsidR="00D75BDD">
        <w:rPr>
          <w:rFonts w:ascii="Sylfaen" w:hAnsi="Sylfaen"/>
          <w:sz w:val="24"/>
          <w:lang w:val="ka-GE"/>
        </w:rPr>
        <w:t>5</w:t>
      </w:r>
      <w:r w:rsidR="00E440C4">
        <w:rPr>
          <w:rFonts w:ascii="Sylfaen" w:hAnsi="Sylfaen"/>
          <w:sz w:val="24"/>
          <w:lang w:val="ka-GE"/>
        </w:rPr>
        <w:t xml:space="preserve"> თავდაცვის საინჟინრო განყოფილებასთან კავშირში, </w:t>
      </w:r>
      <w:r w:rsidR="0004385E">
        <w:rPr>
          <w:rFonts w:ascii="Sylfaen" w:hAnsi="Sylfaen"/>
          <w:sz w:val="24"/>
          <w:lang w:val="ka-GE"/>
        </w:rPr>
        <w:t xml:space="preserve">3 სამედიცინო პერსონალი - 1 აჭარა, 2 ქართულ-ჰოლანდიური კლინიკის თანამშრომელი, </w:t>
      </w:r>
      <w:r w:rsidR="00DF7F93">
        <w:rPr>
          <w:rFonts w:ascii="Sylfaen" w:hAnsi="Sylfaen"/>
          <w:sz w:val="24"/>
          <w:lang w:val="ka-GE"/>
        </w:rPr>
        <w:t>სამი</w:t>
      </w:r>
      <w:r w:rsidR="0004385E">
        <w:rPr>
          <w:rFonts w:ascii="Sylfaen" w:hAnsi="Sylfaen"/>
          <w:sz w:val="24"/>
          <w:lang w:val="ka-GE"/>
        </w:rPr>
        <w:t xml:space="preserve"> შემთხვევის წყარო უცნობია მიმდინარეობს ჩაღრმავებული ეპიდ კვლევა </w:t>
      </w:r>
      <w:r w:rsidR="00DF7F93">
        <w:rPr>
          <w:rFonts w:ascii="Sylfaen" w:hAnsi="Sylfaen"/>
          <w:sz w:val="24"/>
          <w:lang w:val="ka-GE"/>
        </w:rPr>
        <w:t>აქედან ერთი შემთხვევა დადასტურდა ბათუმის ინფექციურ საავადმყოფოში</w:t>
      </w:r>
    </w:p>
    <w:p w14:paraId="558C66F9" w14:textId="71F84623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04385E">
        <w:rPr>
          <w:rFonts w:ascii="Sylfaen" w:hAnsi="Sylfaen"/>
          <w:sz w:val="24"/>
        </w:rPr>
        <w:t>111</w:t>
      </w:r>
    </w:p>
    <w:p w14:paraId="5812E2C1" w14:textId="0C9BE9A9" w:rsidR="00FB1C7C" w:rsidRPr="00F62A38" w:rsidRDefault="00FB1C7C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F62A38">
        <w:rPr>
          <w:rFonts w:ascii="Sylfaen" w:hAnsi="Sylfaen"/>
          <w:sz w:val="24"/>
          <w:lang w:val="ka-GE"/>
        </w:rPr>
        <w:t>5</w:t>
      </w:r>
    </w:p>
    <w:p w14:paraId="69A88C86" w14:textId="1EB60855" w:rsidR="001066E5" w:rsidRPr="00906DD8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6BE912C6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22F5AF" w14:textId="7959B3B6" w:rsidR="00E440C4" w:rsidRDefault="00D75BDD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C76BEB" wp14:editId="0B43FC0B">
            <wp:simplePos x="0" y="0"/>
            <wp:positionH relativeFrom="column">
              <wp:posOffset>-355600</wp:posOffset>
            </wp:positionH>
            <wp:positionV relativeFrom="paragraph">
              <wp:posOffset>263525</wp:posOffset>
            </wp:positionV>
            <wp:extent cx="7340600" cy="3670300"/>
            <wp:effectExtent l="0" t="0" r="12700" b="635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7E26F" w14:textId="40B84C73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2F6AE70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tbl>
      <w:tblPr>
        <w:tblpPr w:leftFromText="180" w:rightFromText="180" w:vertAnchor="text" w:tblpX="-640" w:tblpY="50"/>
        <w:tblW w:w="11972" w:type="dxa"/>
        <w:tblLayout w:type="fixed"/>
        <w:tblLook w:val="04A0" w:firstRow="1" w:lastRow="0" w:firstColumn="1" w:lastColumn="0" w:noHBand="0" w:noVBand="1"/>
      </w:tblPr>
      <w:tblGrid>
        <w:gridCol w:w="715"/>
        <w:gridCol w:w="880"/>
        <w:gridCol w:w="982"/>
        <w:gridCol w:w="981"/>
        <w:gridCol w:w="912"/>
        <w:gridCol w:w="1051"/>
        <w:gridCol w:w="912"/>
        <w:gridCol w:w="911"/>
        <w:gridCol w:w="842"/>
        <w:gridCol w:w="1122"/>
        <w:gridCol w:w="841"/>
        <w:gridCol w:w="911"/>
        <w:gridCol w:w="912"/>
      </w:tblGrid>
      <w:tr w:rsidR="00D75BDD" w:rsidRPr="00A8415E" w14:paraId="0F7B8613" w14:textId="77777777" w:rsidTr="00D75BDD"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76EF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A8415E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lastRenderedPageBreak/>
              <w:t> 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8B4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ლუგარის ლაბორატორია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B4EE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D68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AE0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B96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784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ციტო</w:t>
            </w:r>
          </w:p>
        </w:tc>
      </w:tr>
      <w:tr w:rsidR="00D75BDD" w:rsidRPr="00A8415E" w14:paraId="28BE7970" w14:textId="77777777" w:rsidTr="00D75BDD">
        <w:trPr>
          <w:trHeight w:val="4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3151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9C9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51DDF34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A3EF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E333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26609D2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B90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F2AA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2F4B5E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2C88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3DE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4069B6F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97A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F745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76C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ECBD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DD48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D75BDD" w:rsidRPr="00A8415E" w14:paraId="1DE736E8" w14:textId="77777777" w:rsidTr="00D75BDD">
        <w:trPr>
          <w:trHeight w:val="2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7B0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98D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026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9C2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A4B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109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29A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DF7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974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1C8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A922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9D5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BF7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108024FE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287D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24D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44D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8B1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7DC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B46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B81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A21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45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CFF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1209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80F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79B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074269F7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F101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66D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17C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06D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F58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990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AE7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71F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BD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59F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8D9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397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384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547030D2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D35E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7E2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C46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F8C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034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512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172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8EF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F0E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985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8FE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AD3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ED5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2E9E8C17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B8AF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0DF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378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54C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F20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653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8A4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E40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457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7233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F2E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E7D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539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6340E8D0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117F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DF0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B14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D274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147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866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C6D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6CA6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2ED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718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15B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47F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F98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00793914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70EB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D3C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E63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B34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A3B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43D1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ED3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B9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BB9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F58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2BC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D11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C1C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67030352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6DCF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8B3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D3A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DEF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E0F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A25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0DC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057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E02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D83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B25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3B3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CDF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1103EF47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6064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C2F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EB5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CEA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C8E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D14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8E8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A2A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661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76B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308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E07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82E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6CB389F9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26F8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F06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7AD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2E1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56FA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ACE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826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0EF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0155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5F6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213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58E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524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23F6F483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72A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DAB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FA1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62D5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957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BF8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6E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2F9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A41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0A9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808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37D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7A7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23D57B45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1D08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94C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33B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C24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4DB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78E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54F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45FA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592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95B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930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812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C0E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5D90302F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CAA0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3DA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291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E18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865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655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3A0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4D4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66B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920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7B1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1BA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4CE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00AAEF24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6039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732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3702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E2A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3A5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30B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A1C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9CF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C71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6D8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2B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321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CE9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73259FDC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F6B8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C4F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028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3FC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62E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2F8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F79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F44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03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051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D70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51E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397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30B9F340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103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7DC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41C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97D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610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694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F98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366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44D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DF2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7B2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9D2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6D7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18D22031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BEAE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10A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784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5DE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E2F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461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C01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D18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F11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29B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39D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A79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538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27AB18E7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B4B8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C42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90D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859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951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E1B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BFB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671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98E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C54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2BF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420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C3B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0C9653FE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0C17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B4B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623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99D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E67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3C2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08A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6EE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35A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A41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887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CD5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849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3F28294D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FC47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3B2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680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20C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11C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70D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992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BF2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73D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DBA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2F0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D56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345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285483F5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4931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849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59A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CFA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1DA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688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139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FD5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C88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D00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B4B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F3A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FF0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1B7218C3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297E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984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394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671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A74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402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37E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EFB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F67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D2F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5B5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245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3B0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6D6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13150A26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7BA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079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7F2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F4B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F68B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3D3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7A6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E06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2D4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F6C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FF0B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1F3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439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70D95935" w14:textId="77777777" w:rsidTr="00D75BDD">
        <w:trPr>
          <w:trHeight w:val="22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100C" w14:textId="77777777" w:rsidR="00D75BDD" w:rsidRPr="00A8415E" w:rsidRDefault="00D75BDD" w:rsidP="00D75BD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77B3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D19E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47B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A6A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26B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105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0650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1F0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1674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4D1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22E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DC1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D75BDD" w:rsidRPr="00A8415E" w14:paraId="7530F882" w14:textId="77777777" w:rsidTr="00D75BDD">
        <w:trPr>
          <w:trHeight w:val="2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28B5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9BA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5158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C8E2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772C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1477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9598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D46A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2257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CB6F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54DD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7FB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A317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494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37CC1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B1F6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E689" w14:textId="77777777" w:rsidR="00D75BDD" w:rsidRPr="00A8415E" w:rsidRDefault="00D75BDD" w:rsidP="00D75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A8415E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</w:tr>
    </w:tbl>
    <w:p w14:paraId="7C8EFF69" w14:textId="074972AC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14E961BF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57A6F0" w14:textId="27C0DF51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35AC3B20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2B6510B8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F3F315E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1655CAC7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450EFC8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600BD466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0E039ED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51B1003" w14:textId="759B7D20" w:rsidR="00E440C4" w:rsidRDefault="00D75BDD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lastRenderedPageBreak/>
        <w:drawing>
          <wp:inline distT="0" distB="0" distL="0" distR="0" wp14:anchorId="691C20AB" wp14:editId="680427E1">
            <wp:extent cx="7023100" cy="3905250"/>
            <wp:effectExtent l="0" t="0" r="63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4237E8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96779A6" w14:textId="65EC5732" w:rsidR="00E440C4" w:rsidRDefault="00D75BDD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noProof/>
          <w:sz w:val="24"/>
        </w:rPr>
        <w:drawing>
          <wp:inline distT="0" distB="0" distL="0" distR="0" wp14:anchorId="5384B2C2" wp14:editId="1CA4D73C">
            <wp:extent cx="7110493" cy="3143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706" cy="316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2C241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61D2EF22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42CDC0A" w14:textId="77777777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78027306" w14:textId="77777777" w:rsidR="00E440C4" w:rsidRP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</w:rPr>
      </w:pPr>
    </w:p>
    <w:p w14:paraId="5216C795" w14:textId="77777777" w:rsidR="00DF18FA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4EF375F8" w14:textId="77777777" w:rsidR="00DF18FA" w:rsidRPr="000519ED" w:rsidRDefault="00DF18FA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6DFA94A6" w14:textId="3B2839DA" w:rsidR="00070099" w:rsidRPr="00DA7131" w:rsidRDefault="00D75BDD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24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41727362" w:rsidR="00233A0F" w:rsidRPr="00233A0F" w:rsidRDefault="00D75BDD" w:rsidP="00070099">
      <w:pPr>
        <w:jc w:val="both"/>
        <w:rPr>
          <w:rFonts w:ascii="Sylfaen" w:hAnsi="Sylfaen"/>
          <w:sz w:val="24"/>
          <w:lang w:val="ka-GE"/>
        </w:rPr>
      </w:pPr>
      <w:r w:rsidRPr="00D75BDD">
        <w:rPr>
          <w:rFonts w:ascii="Sylfaen" w:hAnsi="Sylfaen"/>
          <w:b/>
          <w:bCs/>
          <w:sz w:val="24"/>
          <w:u w:val="single"/>
        </w:rPr>
        <w:t>2,725,920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D75BDD">
        <w:rPr>
          <w:rFonts w:ascii="Sylfaen" w:hAnsi="Sylfaen"/>
          <w:b/>
          <w:bCs/>
          <w:sz w:val="24"/>
          <w:u w:val="single"/>
        </w:rPr>
        <w:t>745,905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D75BDD">
        <w:rPr>
          <w:rFonts w:ascii="Sylfaen" w:hAnsi="Sylfaen"/>
          <w:b/>
          <w:bCs/>
          <w:sz w:val="24"/>
          <w:u w:val="single"/>
        </w:rPr>
        <w:t>191,061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proofErr w:type="spellStart"/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999" w:type="dxa"/>
        <w:tblLook w:val="04A0" w:firstRow="1" w:lastRow="0" w:firstColumn="1" w:lastColumn="0" w:noHBand="0" w:noVBand="1"/>
      </w:tblPr>
      <w:tblGrid>
        <w:gridCol w:w="3749"/>
        <w:gridCol w:w="2890"/>
        <w:gridCol w:w="2166"/>
        <w:gridCol w:w="2194"/>
      </w:tblGrid>
      <w:tr w:rsidR="000422E7" w:rsidRPr="000422E7" w14:paraId="4BA1759E" w14:textId="77777777" w:rsidTr="000422E7">
        <w:trPr>
          <w:trHeight w:val="1252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91CB62E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D85E3AC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47BF29B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2171C33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0422E7" w:rsidRPr="000422E7" w14:paraId="2053E625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2A04DF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099AA8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886709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7EE8FC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50243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BCF01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5.67</w:t>
            </w:r>
          </w:p>
        </w:tc>
      </w:tr>
      <w:tr w:rsidR="000422E7" w:rsidRPr="000422E7" w14:paraId="1AAC3501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4F8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DB88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213024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B74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22157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548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10.40</w:t>
            </w:r>
          </w:p>
        </w:tc>
      </w:tr>
      <w:tr w:rsidR="000422E7" w:rsidRPr="000422E7" w14:paraId="5F152FF9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7A2388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B1ECC6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189973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D555FF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25549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511165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13.45</w:t>
            </w:r>
          </w:p>
        </w:tc>
      </w:tr>
      <w:tr w:rsidR="000422E7" w:rsidRPr="000422E7" w14:paraId="033DC1F2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4CF5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340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158183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CB1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21856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877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13.82</w:t>
            </w:r>
          </w:p>
        </w:tc>
      </w:tr>
      <w:tr w:rsidR="000422E7" w:rsidRPr="000422E7" w14:paraId="0594917D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4603AE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080ED7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153129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2E3CC7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DE5CA1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3.64</w:t>
            </w:r>
          </w:p>
        </w:tc>
      </w:tr>
      <w:tr w:rsidR="000422E7" w:rsidRPr="000422E7" w14:paraId="50B3C240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BC6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09B8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138078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B9EE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18738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8A06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13.57</w:t>
            </w:r>
          </w:p>
        </w:tc>
      </w:tr>
      <w:tr w:rsidR="000422E7" w:rsidRPr="000422E7" w14:paraId="1BC95596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2FF954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7CCA75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101790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6FB429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5F5194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2.45</w:t>
            </w:r>
          </w:p>
        </w:tc>
      </w:tr>
      <w:tr w:rsidR="000422E7" w:rsidRPr="000422E7" w14:paraId="0F78893D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586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AD7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87026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E6AE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937B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6.30</w:t>
            </w:r>
          </w:p>
        </w:tc>
      </w:tr>
      <w:tr w:rsidR="000422E7" w:rsidRPr="000422E7" w14:paraId="1FF14EDF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359B70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98ECF6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82804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C7419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4632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2C9F8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0422E7" w:rsidRPr="000422E7" w14:paraId="05D0D0AA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7D68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C1B1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62773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503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22B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0.88</w:t>
            </w:r>
          </w:p>
        </w:tc>
      </w:tr>
      <w:tr w:rsidR="000422E7" w:rsidRPr="000422E7" w14:paraId="7A0B7A48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E1B298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8D4AD6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50036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7CB082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3331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8C50FB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6.66</w:t>
            </w:r>
          </w:p>
        </w:tc>
      </w:tr>
      <w:tr w:rsidR="000422E7" w:rsidRPr="000422E7" w14:paraId="095BEF78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18D7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AD2C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42797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C40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6490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EFDD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15.16</w:t>
            </w:r>
          </w:p>
        </w:tc>
      </w:tr>
      <w:tr w:rsidR="000422E7" w:rsidRPr="000422E7" w14:paraId="49FF4341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FE7D93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2445F9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42110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9D2591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B709C9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5.10</w:t>
            </w:r>
          </w:p>
        </w:tc>
      </w:tr>
      <w:tr w:rsidR="000422E7" w:rsidRPr="000422E7" w14:paraId="14609AF1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E948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52BC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35729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F7E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4177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E5E0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11.69</w:t>
            </w:r>
          </w:p>
        </w:tc>
      </w:tr>
      <w:tr w:rsidR="000422E7" w:rsidRPr="000422E7" w14:paraId="031F6663" w14:textId="77777777" w:rsidTr="000422E7">
        <w:trPr>
          <w:trHeight w:val="313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24DDDA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5FC6E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28496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5EED3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BFAB66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5.44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1AF89A3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2533"/>
        <w:gridCol w:w="3311"/>
        <w:gridCol w:w="2390"/>
        <w:gridCol w:w="2476"/>
      </w:tblGrid>
      <w:tr w:rsidR="000422E7" w:rsidRPr="000422E7" w14:paraId="25973CA7" w14:textId="77777777" w:rsidTr="000422E7">
        <w:trPr>
          <w:trHeight w:val="1814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99991D7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37CCD1C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5D56326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6495037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0422E7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0422E7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0422E7" w:rsidRPr="000422E7" w14:paraId="2D52C96A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FE9102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0DD85D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1523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322B12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AB2FB9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1.58</w:t>
            </w:r>
          </w:p>
        </w:tc>
      </w:tr>
      <w:tr w:rsidR="000422E7" w:rsidRPr="000422E7" w14:paraId="6983D9F4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AEFD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4B0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1548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98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8A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1.29</w:t>
            </w:r>
          </w:p>
        </w:tc>
      </w:tr>
      <w:tr w:rsidR="000422E7" w:rsidRPr="000422E7" w14:paraId="55014BFA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4D4854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DC5F8F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7170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4ACEC3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187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EAE934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2.61</w:t>
            </w:r>
          </w:p>
        </w:tc>
      </w:tr>
      <w:tr w:rsidR="000422E7" w:rsidRPr="000422E7" w14:paraId="15C86266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8BA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E86C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8022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A55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60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A6F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0.75</w:t>
            </w:r>
          </w:p>
        </w:tc>
      </w:tr>
      <w:tr w:rsidR="000422E7" w:rsidRPr="000422E7" w14:paraId="4E3A91FF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739016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6B7C33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2926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889310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80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7E7AD1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2.73</w:t>
            </w:r>
          </w:p>
        </w:tc>
      </w:tr>
      <w:tr w:rsidR="000422E7" w:rsidRPr="000422E7" w14:paraId="58F0E432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B6F5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AE3E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1334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672C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22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FD57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1.65</w:t>
            </w:r>
          </w:p>
        </w:tc>
      </w:tr>
      <w:tr w:rsidR="000422E7" w:rsidRPr="000422E7" w14:paraId="1889CBE3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6F3A17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უზბეკეთი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145BB9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1758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0F9A1B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97C5BD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0.40</w:t>
            </w:r>
          </w:p>
        </w:tc>
      </w:tr>
      <w:tr w:rsidR="000422E7" w:rsidRPr="000422E7" w14:paraId="4402FC6F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9057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161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631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161C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AEA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1.27</w:t>
            </w:r>
          </w:p>
        </w:tc>
      </w:tr>
      <w:tr w:rsidR="000422E7" w:rsidRPr="000422E7" w14:paraId="6838A9C0" w14:textId="77777777" w:rsidTr="000422E7">
        <w:trPr>
          <w:trHeight w:val="45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9AF7AE" w14:textId="77777777" w:rsidR="000422E7" w:rsidRPr="000422E7" w:rsidRDefault="000422E7" w:rsidP="0004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1CA161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1279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67F7E7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42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9E47E4" w14:textId="77777777" w:rsidR="000422E7" w:rsidRPr="000422E7" w:rsidRDefault="000422E7" w:rsidP="0004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2E7">
              <w:rPr>
                <w:rFonts w:ascii="Calibri" w:eastAsia="Times New Roman" w:hAnsi="Calibri" w:cs="Calibri"/>
                <w:color w:val="000000"/>
                <w:lang w:val="ka-GE"/>
              </w:rPr>
              <w:t>3.28</w:t>
            </w:r>
          </w:p>
        </w:tc>
      </w:tr>
    </w:tbl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167B"/>
    <w:rsid w:val="00392660"/>
    <w:rsid w:val="00396491"/>
    <w:rsid w:val="003B3FCE"/>
    <w:rsid w:val="003D0EA4"/>
    <w:rsid w:val="003E6DD0"/>
    <w:rsid w:val="003F1B1C"/>
    <w:rsid w:val="004002E4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D6B9B"/>
    <w:rsid w:val="005E373D"/>
    <w:rsid w:val="005E6919"/>
    <w:rsid w:val="00604197"/>
    <w:rsid w:val="00615C80"/>
    <w:rsid w:val="00620F03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E1D48"/>
    <w:rsid w:val="00CF0E0A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3A70"/>
    <w:rsid w:val="00DA4427"/>
    <w:rsid w:val="00DA7131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Sheet1!$A$2:$A$59</c:f>
              <c:numCache>
                <c:formatCode>d\-mmm</c:formatCode>
                <c:ptCount val="58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</c:numCache>
            </c:numRef>
          </c:cat>
          <c:val>
            <c:numRef>
              <c:f>Sheet1!$B$2:$B$59</c:f>
              <c:numCache>
                <c:formatCode>General</c:formatCode>
                <c:ptCount val="5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23801776"/>
        <c:axId val="32380256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54"/>
              <c:layout>
                <c:manualLayout>
                  <c:x val="-1.2191602026632612E-16"/>
                  <c:y val="-1.4900908955446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layout>
                <c:manualLayout>
                  <c:x val="-1.2191602026632612E-16"/>
                  <c:y val="-3.57621814930710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6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layout>
                <c:manualLayout>
                  <c:x val="-1.2191602026632612E-16"/>
                  <c:y val="-5.06630904485173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6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layout>
                <c:manualLayout>
                  <c:x val="-1.2191602026632612E-16"/>
                  <c:y val="-6.2583817612874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Sheet1!$A$2:$A$59</c:f>
              <c:numCache>
                <c:formatCode>d\-mmm</c:formatCode>
                <c:ptCount val="58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</c:numCache>
            </c:numRef>
          </c:cat>
          <c:val>
            <c:numRef>
              <c:f>Sheet1!$C$2:$C$59</c:f>
              <c:numCache>
                <c:formatCode>General</c:formatCode>
                <c:ptCount val="5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801776"/>
        <c:axId val="323802560"/>
      </c:lineChart>
      <c:dateAx>
        <c:axId val="323801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3802560"/>
        <c:crosses val="autoZero"/>
        <c:auto val="1"/>
        <c:lblOffset val="100"/>
        <c:baseTimeUnit val="days"/>
        <c:majorUnit val="7"/>
        <c:majorTimeUnit val="days"/>
      </c:dateAx>
      <c:valAx>
        <c:axId val="32380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380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8"/>
              <c:layout>
                <c:manualLayout>
                  <c:x val="-1.2970168612193862E-3"/>
                  <c:y val="2.53448275862068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Sheet2!$A$2:$A$60</c:f>
              <c:strCache>
                <c:ptCount val="59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</c:strCache>
            </c:strRef>
          </c:cat>
          <c:val>
            <c:numRef>
              <c:f>Sheet2!$C$2:$C$60</c:f>
              <c:numCache>
                <c:formatCode>General</c:formatCode>
                <c:ptCount val="59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624</c:v>
                </c:pt>
                <c:pt idx="58">
                  <c:v>700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288664"/>
        <c:axId val="323804128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Sheet2!$A$2:$A$60</c:f>
              <c:strCache>
                <c:ptCount val="59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</c:strCache>
            </c:strRef>
          </c:cat>
          <c:val>
            <c:numRef>
              <c:f>Sheet2!$B$2:$B$60</c:f>
              <c:numCache>
                <c:formatCode>General</c:formatCode>
                <c:ptCount val="59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8999</c:v>
                </c:pt>
                <c:pt idx="58">
                  <c:v>9699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803344"/>
        <c:axId val="323803736"/>
      </c:lineChart>
      <c:catAx>
        <c:axId val="32380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3803736"/>
        <c:crosses val="autoZero"/>
        <c:auto val="0"/>
        <c:lblAlgn val="ctr"/>
        <c:lblOffset val="100"/>
        <c:noMultiLvlLbl val="0"/>
      </c:catAx>
      <c:valAx>
        <c:axId val="323803736"/>
        <c:scaling>
          <c:orientation val="minMax"/>
          <c:max val="1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3803344"/>
        <c:crosses val="autoZero"/>
        <c:crossBetween val="between"/>
        <c:majorUnit val="1000"/>
      </c:valAx>
      <c:valAx>
        <c:axId val="323804128"/>
        <c:scaling>
          <c:orientation val="minMax"/>
          <c:max val="10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288664"/>
        <c:crosses val="max"/>
        <c:crossBetween val="between"/>
        <c:majorUnit val="100"/>
      </c:valAx>
      <c:catAx>
        <c:axId val="501288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3804128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587446510820388"/>
          <c:y val="3.452190243460948E-2"/>
          <c:w val="0.50642319515508027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24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თბილისის ინფექციური </c:v>
                </c:pt>
                <c:pt idx="3">
                  <c:v>იმერეთი</c:v>
                </c:pt>
                <c:pt idx="4">
                  <c:v>აჭარა</c:v>
                </c:pt>
                <c:pt idx="5">
                  <c:v> ბოჭორიშვილის კლინიკა</c:v>
                </c:pt>
                <c:pt idx="6">
                  <c:v>გორის სამხედრო ჰოსპიტალი</c:v>
                </c:pt>
                <c:pt idx="7">
                  <c:v>რესპუბლიკური საავადმყოფო</c:v>
                </c:pt>
                <c:pt idx="8">
                  <c:v>პირველი საუნივერსიტეტო კლინიკა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46</c:v>
                </c:pt>
                <c:pt idx="4">
                  <c:v>10</c:v>
                </c:pt>
                <c:pt idx="5">
                  <c:v>8</c:v>
                </c:pt>
                <c:pt idx="6">
                  <c:v>8</c:v>
                </c:pt>
                <c:pt idx="7">
                  <c:v>18</c:v>
                </c:pt>
                <c:pt idx="8">
                  <c:v>10</c:v>
                </c:pt>
                <c:pt idx="9">
                  <c:v>101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ზუგდიდის საავადმყოფო</c:v>
                </c:pt>
                <c:pt idx="1">
                  <c:v>ფოთის საავადმყოფო</c:v>
                </c:pt>
                <c:pt idx="2">
                  <c:v>თბილისის ინფექციური </c:v>
                </c:pt>
                <c:pt idx="3">
                  <c:v>იმერეთი</c:v>
                </c:pt>
                <c:pt idx="4">
                  <c:v>აჭარა</c:v>
                </c:pt>
                <c:pt idx="5">
                  <c:v> ბოჭორიშვილის კლინიკა</c:v>
                </c:pt>
                <c:pt idx="6">
                  <c:v>გორის სამხედრო ჰოსპიტალი</c:v>
                </c:pt>
                <c:pt idx="7">
                  <c:v>რესპუბლიკური საავადმყოფო</c:v>
                </c:pt>
                <c:pt idx="8">
                  <c:v>პირველი საუნივერსიტეტო კლინიკა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45</c:v>
                </c:pt>
                <c:pt idx="3">
                  <c:v>75</c:v>
                </c:pt>
                <c:pt idx="4">
                  <c:v>49</c:v>
                </c:pt>
                <c:pt idx="5">
                  <c:v>28</c:v>
                </c:pt>
                <c:pt idx="6">
                  <c:v>82</c:v>
                </c:pt>
                <c:pt idx="7">
                  <c:v>61</c:v>
                </c:pt>
                <c:pt idx="8">
                  <c:v>106</c:v>
                </c:pt>
                <c:pt idx="9">
                  <c:v>446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1289056"/>
        <c:axId val="501287096"/>
      </c:barChart>
      <c:catAx>
        <c:axId val="501289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287096"/>
        <c:crosses val="autoZero"/>
        <c:auto val="1"/>
        <c:lblAlgn val="ctr"/>
        <c:lblOffset val="100"/>
        <c:noMultiLvlLbl val="0"/>
      </c:catAx>
      <c:valAx>
        <c:axId val="501287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28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53CA-FA63-4C50-B379-F62CF72B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4</cp:revision>
  <cp:lastPrinted>2020-03-13T13:34:00Z</cp:lastPrinted>
  <dcterms:created xsi:type="dcterms:W3CDTF">2020-04-24T05:41:00Z</dcterms:created>
  <dcterms:modified xsi:type="dcterms:W3CDTF">2020-04-24T06:05:00Z</dcterms:modified>
</cp:coreProperties>
</file>